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02" w:rsidRDefault="00F91402"/>
    <w:p w:rsidR="00F91402" w:rsidRDefault="00F91402"/>
    <w:p w:rsidR="00F91402" w:rsidRDefault="00F91402"/>
    <w:tbl>
      <w:tblPr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1E0"/>
      </w:tblPr>
      <w:tblGrid>
        <w:gridCol w:w="414"/>
        <w:gridCol w:w="271"/>
        <w:gridCol w:w="3653"/>
        <w:gridCol w:w="5252"/>
      </w:tblGrid>
      <w:tr w:rsidR="00F91402" w:rsidRPr="005E72AE" w:rsidTr="00F91402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>
            <w:r>
              <w:t>General Liability Coverage with $1/$2 million per occurrence and per aggregate limits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>
            <w:r>
              <w:t>This is the minimal level of coverage needed for all chambers of commerce.  Look out for whether or not there is a deductible.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F91402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9673A9" w:rsidRDefault="00F91402" w:rsidP="00815053">
            <w:r>
              <w:t>Medical Payments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F91402">
            <w:r>
              <w:t xml:space="preserve">It allows for individuals injured to have their medical bills paid regardless of fault.  This is </w:t>
            </w:r>
            <w:r w:rsidR="00EC6D88">
              <w:t>especially</w:t>
            </w:r>
            <w:r>
              <w:t xml:space="preserve"> key for those invitees you have in your office such as government officials, and </w:t>
            </w:r>
            <w:r w:rsidR="00EC6D88">
              <w:t>corporate</w:t>
            </w:r>
            <w:r>
              <w:t xml:space="preserve"> sponsors.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F91402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>
            <w:r>
              <w:t>Coverage for personal and advertising injury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>
            <w:r>
              <w:t xml:space="preserve">Be sure this coverage is not excluded from your GL policy if you have a website or </w:t>
            </w:r>
            <w:r w:rsidR="00EC6D88">
              <w:t>newsletter</w:t>
            </w:r>
            <w:r>
              <w:t>.  These types of activities create a greater exposure for this type of loss.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F91402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>
            <w:r>
              <w:t>Employee Dishonesty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>
            <w:r>
              <w:t>Excluded out of theft is coverage in most policies are those thefts by employees of company assets.  Be sure this is c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3C3A47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815053">
            <w:r>
              <w:t>Volunteers as employees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3C3A47">
            <w:r>
              <w:t>Most chambers have active volunteers who act on behalf of the chamber and thereby create loss exposure.  Be sure the definition of employees includes volunteers.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3C3A47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815053">
            <w:r>
              <w:t>Loss of Personally Identifiable Information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3C3A47">
            <w:r>
              <w:t>If your members pay, donate or transfer other PII through your website, and if not covered by your website provider, be sure you have this coverage should their information be breached.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3C3A47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815053">
            <w:r>
              <w:t>Non-owned auto liability coverage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815053">
            <w:r>
              <w:t xml:space="preserve">If your volunteers use their own autos to run errands for the organization be sure they understand they do so at their own risk. </w:t>
            </w:r>
            <w:r w:rsidR="00EC6D88">
              <w:t>Verify</w:t>
            </w:r>
            <w:r>
              <w:t xml:space="preserve"> their coverage and add this to cover harm they do to others.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3C3A47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815053">
            <w:r>
              <w:t>Directors and Officers coverage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EC6D88">
            <w:r>
              <w:t xml:space="preserve">Protects the personal assets of your directors and officers should members or </w:t>
            </w:r>
            <w:r w:rsidR="00EC6D88">
              <w:t>other</w:t>
            </w:r>
            <w:r>
              <w:t xml:space="preserve"> parties find them at fault.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3C3A47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815053">
            <w:r>
              <w:t>Business Personal Property</w:t>
            </w:r>
            <w:r w:rsidR="00EC6D88">
              <w:t>/Property While In Transit/Property While At Other Location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EC6D88" w:rsidP="00815053">
            <w:r>
              <w:t>If you have branded items like signs, t-shirts, tablecloths, etc a small amount of property coverage would be warranted but be sure the deductible is small and that it covers the property wherever it is.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F91402" w:rsidRPr="005E72AE" w:rsidTr="003C3A47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F91402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815053">
            <w:r>
              <w:t>Event Cancellation/</w:t>
            </w:r>
            <w:r w:rsidR="00EC6D88">
              <w:t>Liquor</w:t>
            </w:r>
            <w:r>
              <w:t xml:space="preserve"> Liability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F91402" w:rsidRPr="005E72AE" w:rsidRDefault="003C3A47" w:rsidP="00815053">
            <w:r>
              <w:t xml:space="preserve">Depending on the type of </w:t>
            </w:r>
            <w:r w:rsidR="00EC6D88">
              <w:t>events and contractual arrangements you have you may need event cancellation and liquor liability.</w:t>
            </w:r>
          </w:p>
        </w:tc>
      </w:tr>
      <w:tr w:rsidR="00F91402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271" w:type="dxa"/>
            <w:shd w:val="clear" w:color="auto" w:fill="auto"/>
            <w:vAlign w:val="center"/>
          </w:tcPr>
          <w:p w:rsidR="00F91402" w:rsidRPr="005E72AE" w:rsidRDefault="00F91402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1402" w:rsidRPr="005E72AE" w:rsidRDefault="00F91402" w:rsidP="00815053"/>
        </w:tc>
      </w:tr>
      <w:tr w:rsidR="00EC6D88" w:rsidRPr="005E72AE" w:rsidTr="00815053">
        <w:trPr>
          <w:trHeight w:hRule="exact" w:val="720"/>
        </w:trPr>
        <w:tc>
          <w:tcPr>
            <w:tcW w:w="414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EC6D88" w:rsidRPr="005E72AE" w:rsidRDefault="00EC6D88" w:rsidP="00815053"/>
        </w:tc>
        <w:tc>
          <w:tcPr>
            <w:tcW w:w="271" w:type="dxa"/>
            <w:tcBorders>
              <w:left w:val="single" w:sz="4" w:space="0" w:color="4573B3"/>
              <w:right w:val="single" w:sz="4" w:space="0" w:color="4573B3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6D88" w:rsidRPr="005E72AE" w:rsidRDefault="00EC6D88" w:rsidP="00815053"/>
        </w:tc>
        <w:tc>
          <w:tcPr>
            <w:tcW w:w="3653" w:type="dxa"/>
            <w:tcBorders>
              <w:top w:val="single" w:sz="4" w:space="0" w:color="4573B3"/>
              <w:left w:val="single" w:sz="4" w:space="0" w:color="4573B3"/>
              <w:bottom w:val="single" w:sz="4" w:space="0" w:color="4573B3"/>
            </w:tcBorders>
            <w:shd w:val="clear" w:color="auto" w:fill="F3F3F3"/>
            <w:vAlign w:val="center"/>
          </w:tcPr>
          <w:p w:rsidR="00EC6D88" w:rsidRPr="005E72AE" w:rsidRDefault="00EC6D88" w:rsidP="00815053">
            <w:r>
              <w:t>Miscellaneous Errors &amp; Omissions</w:t>
            </w:r>
          </w:p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  <w:right w:val="single" w:sz="4" w:space="0" w:color="4573B3"/>
            </w:tcBorders>
            <w:shd w:val="clear" w:color="auto" w:fill="F3F3F3"/>
            <w:vAlign w:val="center"/>
          </w:tcPr>
          <w:p w:rsidR="00EC6D88" w:rsidRPr="005E72AE" w:rsidRDefault="00EC6D88" w:rsidP="00815053">
            <w:r>
              <w:t>If you are referring businesses, lobbying or making other recommendations you will need errors and omissions insurance.</w:t>
            </w:r>
          </w:p>
        </w:tc>
      </w:tr>
      <w:tr w:rsidR="00EC6D88" w:rsidRPr="005E72AE" w:rsidTr="00F91402">
        <w:trPr>
          <w:trHeight w:hRule="exact" w:val="144"/>
        </w:trPr>
        <w:tc>
          <w:tcPr>
            <w:tcW w:w="414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vAlign w:val="center"/>
          </w:tcPr>
          <w:p w:rsidR="00EC6D88" w:rsidRDefault="00EC6D88" w:rsidP="00815053"/>
          <w:p w:rsidR="00EC6D88" w:rsidRPr="005E72AE" w:rsidRDefault="00EC6D88" w:rsidP="00815053"/>
        </w:tc>
        <w:tc>
          <w:tcPr>
            <w:tcW w:w="271" w:type="dxa"/>
            <w:shd w:val="clear" w:color="auto" w:fill="auto"/>
            <w:vAlign w:val="center"/>
          </w:tcPr>
          <w:p w:rsidR="00EC6D88" w:rsidRPr="005E72AE" w:rsidRDefault="00EC6D88" w:rsidP="00815053"/>
        </w:tc>
        <w:tc>
          <w:tcPr>
            <w:tcW w:w="3653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8" w:rsidRPr="005E72AE" w:rsidRDefault="00EC6D88" w:rsidP="00815053"/>
        </w:tc>
        <w:tc>
          <w:tcPr>
            <w:tcW w:w="5252" w:type="dxa"/>
            <w:tcBorders>
              <w:top w:val="single" w:sz="4" w:space="0" w:color="4573B3"/>
              <w:bottom w:val="single" w:sz="4" w:space="0" w:color="4573B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6D88" w:rsidRPr="005E72AE" w:rsidRDefault="00EC6D88" w:rsidP="00815053"/>
        </w:tc>
      </w:tr>
    </w:tbl>
    <w:p w:rsidR="00F91402" w:rsidRDefault="00F91402"/>
    <w:sectPr w:rsidR="00F91402" w:rsidSect="00BD25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88" w:rsidRDefault="00EC6D88" w:rsidP="00EC6D88">
      <w:r>
        <w:separator/>
      </w:r>
    </w:p>
  </w:endnote>
  <w:endnote w:type="continuationSeparator" w:id="0">
    <w:p w:rsidR="00EC6D88" w:rsidRDefault="00EC6D88" w:rsidP="00EC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88" w:rsidRDefault="00EC6D88" w:rsidP="00EC6D88">
      <w:r>
        <w:separator/>
      </w:r>
    </w:p>
  </w:footnote>
  <w:footnote w:type="continuationSeparator" w:id="0">
    <w:p w:rsidR="00EC6D88" w:rsidRDefault="00EC6D88" w:rsidP="00EC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F2A78B2A623418FAEEFA83FF76F89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C6D88" w:rsidRDefault="00EC6D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Insurance Checklist for Chambers and Trade Associations</w:t>
        </w:r>
      </w:p>
    </w:sdtContent>
  </w:sdt>
  <w:p w:rsidR="00EC6D88" w:rsidRDefault="00EC6D88" w:rsidP="00EC6D88">
    <w:pPr>
      <w:pStyle w:val="Header"/>
      <w:jc w:val="center"/>
    </w:pPr>
    <w:r>
      <w:t>Provided by Insurance Design &amp; Placement Inc (800) 588-2603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02"/>
    <w:rsid w:val="003C3A47"/>
    <w:rsid w:val="0058114D"/>
    <w:rsid w:val="00BD254B"/>
    <w:rsid w:val="00EC6D88"/>
    <w:rsid w:val="00F9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02"/>
    <w:pPr>
      <w:spacing w:after="0" w:line="240" w:lineRule="auto"/>
    </w:pPr>
    <w:rPr>
      <w:rFonts w:eastAsia="Times New Roman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D88"/>
    <w:rPr>
      <w:rFonts w:eastAsia="Times New Roman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C6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D88"/>
    <w:rPr>
      <w:rFonts w:eastAsia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8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2A78B2A623418FAEEFA83FF76F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DCCB-3372-4CC7-833D-47D8ADA6AE45}"/>
      </w:docPartPr>
      <w:docPartBody>
        <w:p w:rsidR="00000000" w:rsidRDefault="008417A6" w:rsidP="008417A6">
          <w:pPr>
            <w:pStyle w:val="DF2A78B2A623418FAEEFA83FF76F89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17A6"/>
    <w:rsid w:val="0084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2A78B2A623418FAEEFA83FF76F89B5">
    <w:name w:val="DF2A78B2A623418FAEEFA83FF76F89B5"/>
    <w:rsid w:val="008417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Checklist for Chambers and Trade Associations</dc:title>
  <dc:creator>SEBRINA BUSH</dc:creator>
  <cp:lastModifiedBy>SEBRINA BUSH</cp:lastModifiedBy>
  <cp:revision>1</cp:revision>
  <dcterms:created xsi:type="dcterms:W3CDTF">2016-01-06T16:56:00Z</dcterms:created>
  <dcterms:modified xsi:type="dcterms:W3CDTF">2016-01-06T17:28:00Z</dcterms:modified>
</cp:coreProperties>
</file>